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E81D5" w14:textId="77777777" w:rsidR="002F669D" w:rsidRPr="008E4BBB" w:rsidRDefault="002F669D" w:rsidP="00275BA6">
      <w:pPr>
        <w:spacing w:after="0"/>
        <w:jc w:val="center"/>
        <w:rPr>
          <w:rFonts w:ascii="Dosis" w:hAnsi="Dosis"/>
          <w:sz w:val="28"/>
          <w:szCs w:val="28"/>
          <w:lang w:val="pt-BR"/>
        </w:rPr>
      </w:pPr>
      <w:r w:rsidRPr="008E4BBB">
        <w:rPr>
          <w:rFonts w:ascii="Dosis" w:hAnsi="Dosis"/>
          <w:b/>
          <w:sz w:val="28"/>
          <w:szCs w:val="28"/>
          <w:lang w:val="pt-BR"/>
        </w:rPr>
        <w:t>POLÍTICA DE RESPONSABILIDADE SOCIAL, AMBIENTAL, CLIMÁTICA E DE GOVERNANÇA – ESG</w:t>
      </w:r>
    </w:p>
    <w:p w14:paraId="40C7B301" w14:textId="3CB3A9E5" w:rsidR="002F669D" w:rsidRPr="008E4BBB" w:rsidRDefault="002F669D" w:rsidP="002F669D">
      <w:pPr>
        <w:spacing w:after="0"/>
        <w:jc w:val="both"/>
        <w:rPr>
          <w:rFonts w:ascii="Dosis" w:hAnsi="Dosis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18"/>
        <w:gridCol w:w="2402"/>
        <w:gridCol w:w="2417"/>
        <w:gridCol w:w="2391"/>
      </w:tblGrid>
      <w:tr w:rsidR="002F669D" w:rsidRPr="008318B5" w14:paraId="4B79A542" w14:textId="77777777" w:rsidTr="00275BA6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482AF31F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Código</w:t>
            </w:r>
          </w:p>
        </w:tc>
        <w:tc>
          <w:tcPr>
            <w:tcW w:w="2450" w:type="dxa"/>
            <w:vAlign w:val="center"/>
          </w:tcPr>
          <w:p w14:paraId="32BDCA39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POL-ESG-001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3603BE01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Versão</w:t>
            </w:r>
          </w:p>
        </w:tc>
        <w:tc>
          <w:tcPr>
            <w:tcW w:w="2450" w:type="dxa"/>
            <w:vAlign w:val="center"/>
          </w:tcPr>
          <w:p w14:paraId="489D0946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1.0</w:t>
            </w:r>
          </w:p>
        </w:tc>
      </w:tr>
      <w:tr w:rsidR="002F669D" w:rsidRPr="008318B5" w14:paraId="3789C0A9" w14:textId="77777777" w:rsidTr="00275BA6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14C5C539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Aprovação</w:t>
            </w:r>
          </w:p>
        </w:tc>
        <w:tc>
          <w:tcPr>
            <w:tcW w:w="2450" w:type="dxa"/>
            <w:vAlign w:val="center"/>
          </w:tcPr>
          <w:p w14:paraId="022BD2EF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[</w:t>
            </w:r>
            <w:r w:rsidRPr="008318B5">
              <w:rPr>
                <w:rFonts w:ascii="Times New Roman" w:hAnsi="Times New Roman" w:cs="Times New Roman"/>
                <w:sz w:val="23"/>
                <w:szCs w:val="23"/>
                <w:highlight w:val="green"/>
                <w:lang w:val="pt-BR"/>
              </w:rPr>
              <w:t>●</w:t>
            </w:r>
            <w:r w:rsidRPr="008318B5">
              <w:rPr>
                <w:rFonts w:ascii="Dosis" w:hAnsi="Dosis"/>
                <w:sz w:val="23"/>
                <w:szCs w:val="23"/>
                <w:lang w:val="pt-BR"/>
              </w:rPr>
              <w:t>]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6647C947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Vigência</w:t>
            </w:r>
          </w:p>
        </w:tc>
        <w:tc>
          <w:tcPr>
            <w:tcW w:w="2450" w:type="dxa"/>
            <w:vAlign w:val="center"/>
          </w:tcPr>
          <w:p w14:paraId="6B019A4F" w14:textId="2BD1745F" w:rsidR="002F669D" w:rsidRPr="008318B5" w:rsidRDefault="00275BA6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[</w:t>
            </w:r>
            <w:r w:rsidRPr="008318B5">
              <w:rPr>
                <w:rFonts w:ascii="Times New Roman" w:hAnsi="Times New Roman" w:cs="Times New Roman"/>
                <w:sz w:val="23"/>
                <w:szCs w:val="23"/>
                <w:highlight w:val="green"/>
                <w:lang w:val="pt-BR"/>
              </w:rPr>
              <w:t>●</w:t>
            </w:r>
            <w:r w:rsidRPr="008318B5">
              <w:rPr>
                <w:rFonts w:ascii="Dosis" w:hAnsi="Dosis"/>
                <w:sz w:val="23"/>
                <w:szCs w:val="23"/>
                <w:lang w:val="pt-BR"/>
              </w:rPr>
              <w:t>]</w:t>
            </w:r>
          </w:p>
        </w:tc>
      </w:tr>
      <w:tr w:rsidR="002F669D" w:rsidRPr="008318B5" w14:paraId="1626AEAC" w14:textId="77777777" w:rsidTr="00275BA6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3AB0E5E4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Responsável</w:t>
            </w:r>
          </w:p>
        </w:tc>
        <w:tc>
          <w:tcPr>
            <w:tcW w:w="2450" w:type="dxa"/>
            <w:vAlign w:val="center"/>
          </w:tcPr>
          <w:p w14:paraId="2F703525" w14:textId="78CD8754" w:rsidR="002F669D" w:rsidRPr="008318B5" w:rsidRDefault="00275BA6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[</w:t>
            </w:r>
            <w:r w:rsidRPr="008318B5">
              <w:rPr>
                <w:rFonts w:ascii="Times New Roman" w:hAnsi="Times New Roman" w:cs="Times New Roman"/>
                <w:sz w:val="23"/>
                <w:szCs w:val="23"/>
                <w:highlight w:val="green"/>
                <w:lang w:val="pt-BR"/>
              </w:rPr>
              <w:t>●</w:t>
            </w:r>
            <w:r w:rsidRPr="008318B5">
              <w:rPr>
                <w:rFonts w:ascii="Dosis" w:hAnsi="Dosis"/>
                <w:sz w:val="23"/>
                <w:szCs w:val="23"/>
                <w:lang w:val="pt-BR"/>
              </w:rPr>
              <w:t>]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7EB393B2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Próxima revisão</w:t>
            </w:r>
          </w:p>
        </w:tc>
        <w:tc>
          <w:tcPr>
            <w:tcW w:w="2450" w:type="dxa"/>
            <w:vAlign w:val="center"/>
          </w:tcPr>
          <w:p w14:paraId="4A3609E7" w14:textId="1CCD6667" w:rsidR="002F669D" w:rsidRPr="008318B5" w:rsidRDefault="00275BA6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[</w:t>
            </w:r>
            <w:r w:rsidRPr="008318B5">
              <w:rPr>
                <w:rFonts w:ascii="Times New Roman" w:hAnsi="Times New Roman" w:cs="Times New Roman"/>
                <w:sz w:val="23"/>
                <w:szCs w:val="23"/>
                <w:highlight w:val="green"/>
                <w:lang w:val="pt-BR"/>
              </w:rPr>
              <w:t>●</w:t>
            </w:r>
            <w:r w:rsidRPr="008318B5">
              <w:rPr>
                <w:rFonts w:ascii="Dosis" w:hAnsi="Dosis"/>
                <w:sz w:val="23"/>
                <w:szCs w:val="23"/>
                <w:lang w:val="pt-BR"/>
              </w:rPr>
              <w:t>]</w:t>
            </w:r>
          </w:p>
        </w:tc>
      </w:tr>
      <w:tr w:rsidR="002F669D" w:rsidRPr="008318B5" w14:paraId="349A0A32" w14:textId="77777777" w:rsidTr="00275BA6">
        <w:trPr>
          <w:jc w:val="center"/>
        </w:trPr>
        <w:tc>
          <w:tcPr>
            <w:tcW w:w="2450" w:type="dxa"/>
            <w:shd w:val="clear" w:color="auto" w:fill="EAF1DD" w:themeFill="accent3" w:themeFillTint="33"/>
            <w:vAlign w:val="center"/>
          </w:tcPr>
          <w:p w14:paraId="6507C876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Classificação</w:t>
            </w:r>
          </w:p>
        </w:tc>
        <w:tc>
          <w:tcPr>
            <w:tcW w:w="2450" w:type="dxa"/>
            <w:vAlign w:val="center"/>
          </w:tcPr>
          <w:p w14:paraId="76A237BF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Uso interno</w:t>
            </w:r>
          </w:p>
        </w:tc>
        <w:tc>
          <w:tcPr>
            <w:tcW w:w="2450" w:type="dxa"/>
            <w:shd w:val="clear" w:color="auto" w:fill="EAF1DD" w:themeFill="accent3" w:themeFillTint="33"/>
            <w:vAlign w:val="center"/>
          </w:tcPr>
          <w:p w14:paraId="48419545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Área proprietária</w:t>
            </w:r>
          </w:p>
        </w:tc>
        <w:tc>
          <w:tcPr>
            <w:tcW w:w="2450" w:type="dxa"/>
            <w:vAlign w:val="center"/>
          </w:tcPr>
          <w:p w14:paraId="17084DB6" w14:textId="684A4A65" w:rsidR="002F669D" w:rsidRPr="008318B5" w:rsidRDefault="00275BA6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[</w:t>
            </w:r>
            <w:r w:rsidRPr="008318B5">
              <w:rPr>
                <w:rFonts w:ascii="Times New Roman" w:hAnsi="Times New Roman" w:cs="Times New Roman"/>
                <w:sz w:val="23"/>
                <w:szCs w:val="23"/>
                <w:highlight w:val="green"/>
                <w:lang w:val="pt-BR"/>
              </w:rPr>
              <w:t>●</w:t>
            </w:r>
            <w:r w:rsidRPr="008318B5">
              <w:rPr>
                <w:rFonts w:ascii="Dosis" w:hAnsi="Dosis"/>
                <w:sz w:val="23"/>
                <w:szCs w:val="23"/>
                <w:lang w:val="pt-BR"/>
              </w:rPr>
              <w:t>]</w:t>
            </w:r>
          </w:p>
        </w:tc>
      </w:tr>
    </w:tbl>
    <w:p w14:paraId="1485FA28" w14:textId="77777777" w:rsidR="002F669D" w:rsidRPr="008318B5" w:rsidRDefault="002F669D" w:rsidP="002F669D">
      <w:pPr>
        <w:spacing w:after="0"/>
        <w:jc w:val="both"/>
        <w:rPr>
          <w:rFonts w:ascii="Dosis" w:hAnsi="Dosis"/>
          <w:sz w:val="23"/>
          <w:szCs w:val="23"/>
          <w:lang w:val="pt-BR"/>
        </w:rPr>
      </w:pPr>
    </w:p>
    <w:p w14:paraId="72DA89C6" w14:textId="77777777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1. OBJETIVO</w:t>
      </w:r>
    </w:p>
    <w:p w14:paraId="44E46871" w14:textId="2D85D21A" w:rsidR="002F669D" w:rsidRPr="008318B5" w:rsidRDefault="002F669D" w:rsidP="00275BA6">
      <w:pPr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Esta Política estabelece diretrizes sociais, ambientais, climáticas e de governança para a atuação d</w:t>
      </w:r>
      <w:r w:rsidR="00B276DE" w:rsidRPr="008318B5">
        <w:rPr>
          <w:rFonts w:ascii="Dosis" w:hAnsi="Dosis"/>
          <w:sz w:val="23"/>
          <w:szCs w:val="23"/>
          <w:lang w:val="pt-BR"/>
        </w:rPr>
        <w:t>o</w:t>
      </w:r>
      <w:r w:rsidRPr="008318B5">
        <w:rPr>
          <w:rFonts w:ascii="Dosis" w:hAnsi="Dosis"/>
          <w:sz w:val="23"/>
          <w:szCs w:val="23"/>
          <w:lang w:val="pt-BR"/>
        </w:rPr>
        <w:t xml:space="preserve"> MEU BENEFÍCIO, considerando seu papel na administração de cartões consignados emitidos por instituições parceiras e utilizados em convênios com órgãos e entidades públicas.</w:t>
      </w:r>
    </w:p>
    <w:p w14:paraId="1FE5FDC5" w14:textId="77777777" w:rsidR="00B276DE" w:rsidRPr="008318B5" w:rsidRDefault="00B276DE" w:rsidP="00275BA6">
      <w:pPr>
        <w:spacing w:after="0"/>
        <w:jc w:val="both"/>
        <w:rPr>
          <w:rFonts w:ascii="Dosis" w:hAnsi="Dosis"/>
          <w:sz w:val="23"/>
          <w:szCs w:val="23"/>
          <w:lang w:val="pt-BR"/>
        </w:rPr>
      </w:pPr>
    </w:p>
    <w:p w14:paraId="0987861B" w14:textId="4ACD46E7" w:rsidR="002F669D" w:rsidRPr="008318B5" w:rsidRDefault="00B276DE" w:rsidP="00275BA6">
      <w:pPr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Esta</w:t>
      </w:r>
      <w:r w:rsidR="002F669D" w:rsidRPr="008318B5">
        <w:rPr>
          <w:rFonts w:ascii="Dosis" w:hAnsi="Dosis"/>
          <w:sz w:val="23"/>
          <w:szCs w:val="23"/>
          <w:lang w:val="pt-BR"/>
        </w:rPr>
        <w:t xml:space="preserve"> Política tem caráter corporativo e voluntariamente incorpora boas práticas aplicáveis ao setor financeiro, sem atribuir </w:t>
      </w:r>
      <w:r w:rsidR="00FD7A22" w:rsidRPr="008318B5">
        <w:rPr>
          <w:rFonts w:ascii="Dosis" w:hAnsi="Dosis"/>
          <w:sz w:val="23"/>
          <w:szCs w:val="23"/>
          <w:lang w:val="pt-BR"/>
        </w:rPr>
        <w:t>ao MEU BENEFÍCIO</w:t>
      </w:r>
      <w:r w:rsidR="002F669D" w:rsidRPr="008318B5">
        <w:rPr>
          <w:rFonts w:ascii="Dosis" w:hAnsi="Dosis"/>
          <w:sz w:val="23"/>
          <w:szCs w:val="23"/>
          <w:lang w:val="pt-BR"/>
        </w:rPr>
        <w:t xml:space="preserve"> a condição de instituição financeira, instituição de pagamento emissora ou entidade sujeita a obrigações regulatórias que legalmente não lhe sejam aplicáveis.</w:t>
      </w:r>
    </w:p>
    <w:p w14:paraId="5A0F5376" w14:textId="77777777" w:rsidR="00B276DE" w:rsidRPr="008318B5" w:rsidRDefault="00B276DE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2F305F20" w14:textId="55452E55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2. ABRANGÊNCIA</w:t>
      </w:r>
    </w:p>
    <w:p w14:paraId="6DBE13A2" w14:textId="4981057C" w:rsidR="002F669D" w:rsidRPr="008318B5" w:rsidRDefault="002F669D" w:rsidP="00275BA6">
      <w:pPr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Aplica-se à administração, empregados, prestadores, fornecedores, parceiros, correspondentes e demais terceiros que atuem em nome</w:t>
      </w:r>
      <w:r w:rsidR="00F836CB" w:rsidRPr="008318B5">
        <w:rPr>
          <w:rFonts w:ascii="Dosis" w:hAnsi="Dosis"/>
          <w:sz w:val="23"/>
          <w:szCs w:val="23"/>
          <w:lang w:val="pt-BR"/>
        </w:rPr>
        <w:t xml:space="preserve"> do MEU BENEFÍCIO</w:t>
      </w:r>
      <w:r w:rsidRPr="008318B5">
        <w:rPr>
          <w:rFonts w:ascii="Dosis" w:hAnsi="Dosis"/>
          <w:sz w:val="23"/>
          <w:szCs w:val="23"/>
          <w:lang w:val="pt-BR"/>
        </w:rPr>
        <w:t>.</w:t>
      </w:r>
    </w:p>
    <w:p w14:paraId="010800FF" w14:textId="77777777" w:rsidR="00F836CB" w:rsidRPr="008318B5" w:rsidRDefault="00F836CB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300412DB" w14:textId="5232C6F8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3. PRINCÍPIOS</w:t>
      </w:r>
    </w:p>
    <w:p w14:paraId="27542FB4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ética, integridade, legalidade e transparência;</w:t>
      </w:r>
    </w:p>
    <w:p w14:paraId="63B6E58E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respeito aos direitos humanos e às relações de trabalho dignas;</w:t>
      </w:r>
    </w:p>
    <w:p w14:paraId="7A915844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tratamento justo, adequado e não discriminatório dos consumidores;</w:t>
      </w:r>
    </w:p>
    <w:p w14:paraId="34F4272F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crédito responsável e prevenção ao superendividamento;</w:t>
      </w:r>
    </w:p>
    <w:p w14:paraId="159000EE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acessibilidade e inclusão financeira com informação clara;</w:t>
      </w:r>
    </w:p>
    <w:p w14:paraId="50806F8B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uso eficiente de recursos e prevenção de impactos ambientais;</w:t>
      </w:r>
    </w:p>
    <w:p w14:paraId="6A441377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gestão proporcional dos riscos sociais, ambientais e climáticos;</w:t>
      </w:r>
    </w:p>
    <w:p w14:paraId="50ABB29E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prestação de contas e melhoria contínua.</w:t>
      </w:r>
    </w:p>
    <w:p w14:paraId="603DB390" w14:textId="77777777" w:rsidR="004B0EA0" w:rsidRPr="008318B5" w:rsidRDefault="004B0EA0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65F030F0" w14:textId="3E5F11E1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4. PILAR SOCIAL</w:t>
      </w:r>
    </w:p>
    <w:p w14:paraId="4A924359" w14:textId="77777777" w:rsidR="002F669D" w:rsidRPr="008318B5" w:rsidRDefault="002F669D" w:rsidP="00275BA6">
      <w:pPr>
        <w:pStyle w:val="Ttulo2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4.1. Relacionamento com clientes e usuários</w:t>
      </w:r>
    </w:p>
    <w:p w14:paraId="682E9734" w14:textId="7AE783FC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apresentar de forma clara a identidade da emissora, da administradora</w:t>
      </w:r>
      <w:r w:rsidR="004B0EA0" w:rsidRPr="008318B5">
        <w:rPr>
          <w:rFonts w:ascii="Dosis" w:hAnsi="Dosis"/>
          <w:sz w:val="23"/>
          <w:szCs w:val="23"/>
          <w:lang w:val="pt-BR"/>
        </w:rPr>
        <w:t>, da bancarizadora</w:t>
      </w:r>
      <w:r w:rsidRPr="008318B5">
        <w:rPr>
          <w:rFonts w:ascii="Dosis" w:hAnsi="Dosis"/>
          <w:sz w:val="23"/>
          <w:szCs w:val="23"/>
          <w:lang w:val="pt-BR"/>
        </w:rPr>
        <w:t xml:space="preserve"> e dos demais participantes da operação;</w:t>
      </w:r>
    </w:p>
    <w:p w14:paraId="5E6B98FB" w14:textId="1A9C44EC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 xml:space="preserve">não induzir o cliente a acreditar que </w:t>
      </w:r>
      <w:r w:rsidR="00200852" w:rsidRPr="008318B5">
        <w:rPr>
          <w:rFonts w:ascii="Dosis" w:hAnsi="Dosis"/>
          <w:sz w:val="23"/>
          <w:szCs w:val="23"/>
          <w:lang w:val="pt-BR"/>
        </w:rPr>
        <w:t xml:space="preserve">o MEU BENEFÍCIO </w:t>
      </w:r>
      <w:r w:rsidRPr="008318B5">
        <w:rPr>
          <w:rFonts w:ascii="Dosis" w:hAnsi="Dosis"/>
          <w:sz w:val="23"/>
          <w:szCs w:val="23"/>
          <w:lang w:val="pt-BR"/>
        </w:rPr>
        <w:t xml:space="preserve">é </w:t>
      </w:r>
      <w:r w:rsidR="00200852" w:rsidRPr="008318B5">
        <w:rPr>
          <w:rFonts w:ascii="Dosis" w:hAnsi="Dosis"/>
          <w:sz w:val="23"/>
          <w:szCs w:val="23"/>
          <w:lang w:val="pt-BR"/>
        </w:rPr>
        <w:t>o</w:t>
      </w:r>
      <w:r w:rsidRPr="008318B5">
        <w:rPr>
          <w:rFonts w:ascii="Dosis" w:hAnsi="Dosis"/>
          <w:sz w:val="23"/>
          <w:szCs w:val="23"/>
          <w:lang w:val="pt-BR"/>
        </w:rPr>
        <w:t xml:space="preserve"> emissor ou </w:t>
      </w:r>
      <w:r w:rsidR="00200852" w:rsidRPr="008318B5">
        <w:rPr>
          <w:rFonts w:ascii="Dosis" w:hAnsi="Dosis"/>
          <w:sz w:val="23"/>
          <w:szCs w:val="23"/>
          <w:lang w:val="pt-BR"/>
        </w:rPr>
        <w:t>o</w:t>
      </w:r>
      <w:r w:rsidRPr="008318B5">
        <w:rPr>
          <w:rFonts w:ascii="Dosis" w:hAnsi="Dosis"/>
          <w:sz w:val="23"/>
          <w:szCs w:val="23"/>
          <w:lang w:val="pt-BR"/>
        </w:rPr>
        <w:t xml:space="preserve"> concedente do crédito;</w:t>
      </w:r>
    </w:p>
    <w:p w14:paraId="60D8AF05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lastRenderedPageBreak/>
        <w:t>fornecer informações pré-contratuais claras sobre modalidade, margem, encargos, fatura, pagamento mínimo, saque, compras, cancelamento e consequências do inadimplemento;</w:t>
      </w:r>
    </w:p>
    <w:p w14:paraId="73BF4AD9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adotar comunicação acessível e adequada a idosos, pessoas com deficiência e públicos vulneráveis;</w:t>
      </w:r>
    </w:p>
    <w:p w14:paraId="0CA76697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prevenir práticas abusivas, assédio comercial, venda casada e contratação sem consentimento válido;</w:t>
      </w:r>
    </w:p>
    <w:p w14:paraId="0D1756CC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disponibilizar canais de atendimento, contestação e encaminhamento de reclamações.</w:t>
      </w:r>
    </w:p>
    <w:p w14:paraId="5E7F4D9A" w14:textId="77777777" w:rsidR="00A40998" w:rsidRPr="008318B5" w:rsidRDefault="00A40998" w:rsidP="00275BA6">
      <w:pPr>
        <w:pStyle w:val="Ttulo2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53697C77" w14:textId="46484B58" w:rsidR="002F669D" w:rsidRPr="008318B5" w:rsidRDefault="002F669D" w:rsidP="00275BA6">
      <w:pPr>
        <w:pStyle w:val="Ttulo2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4.2. Crédito responsável e superendividamento</w:t>
      </w:r>
    </w:p>
    <w:p w14:paraId="10D8CF74" w14:textId="3B8FC1F3" w:rsidR="002F669D" w:rsidRPr="008318B5" w:rsidRDefault="002F669D" w:rsidP="00275BA6">
      <w:pPr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 xml:space="preserve">Embora a decisão de crédito e a emissão caibam à instituição parceira, </w:t>
      </w:r>
      <w:r w:rsidR="00A40998" w:rsidRPr="008318B5">
        <w:rPr>
          <w:rFonts w:ascii="Dosis" w:hAnsi="Dosis"/>
          <w:sz w:val="23"/>
          <w:szCs w:val="23"/>
          <w:lang w:val="pt-BR"/>
        </w:rPr>
        <w:t>o MEU BENEFÍCIO</w:t>
      </w:r>
      <w:r w:rsidRPr="008318B5">
        <w:rPr>
          <w:rFonts w:ascii="Dosis" w:hAnsi="Dosis"/>
          <w:sz w:val="23"/>
          <w:szCs w:val="23"/>
          <w:lang w:val="pt-BR"/>
        </w:rPr>
        <w:t xml:space="preserve"> deverá estruturar seus processos comerciais e operacionais para não estimular endividamento incompatível com a capacidade de pagamento.</w:t>
      </w:r>
    </w:p>
    <w:p w14:paraId="689B5008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vedação de metas ou incentivos que premiem contratação a qualquer custo;</w:t>
      </w:r>
    </w:p>
    <w:p w14:paraId="295A3A45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destaque da natureza consignada e do comprometimento mensal da renda;</w:t>
      </w:r>
    </w:p>
    <w:p w14:paraId="057A2A1C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proibição de ocultar o custo efetivo, encargos ou a existência de saldo rotativo;</w:t>
      </w:r>
    </w:p>
    <w:p w14:paraId="3AAE1AC3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tratamento adequado de clientes em situação de vulnerabilidade ou dificuldade financeira;</w:t>
      </w:r>
    </w:p>
    <w:p w14:paraId="44457338" w14:textId="7EE3D681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 xml:space="preserve">cooperação com a emissora </w:t>
      </w:r>
      <w:r w:rsidR="001D5EE0" w:rsidRPr="008318B5">
        <w:rPr>
          <w:rFonts w:ascii="Dosis" w:hAnsi="Dosis"/>
          <w:sz w:val="23"/>
          <w:szCs w:val="23"/>
          <w:lang w:val="pt-BR"/>
        </w:rPr>
        <w:t xml:space="preserve">e com a bancarizadora </w:t>
      </w:r>
      <w:r w:rsidRPr="008318B5">
        <w:rPr>
          <w:rFonts w:ascii="Dosis" w:hAnsi="Dosis"/>
          <w:sz w:val="23"/>
          <w:szCs w:val="23"/>
          <w:lang w:val="pt-BR"/>
        </w:rPr>
        <w:t>em ações de educação financeira e renegociação.</w:t>
      </w:r>
    </w:p>
    <w:p w14:paraId="577E071A" w14:textId="77777777" w:rsidR="001D5EE0" w:rsidRPr="008318B5" w:rsidRDefault="001D5EE0" w:rsidP="00275BA6">
      <w:pPr>
        <w:pStyle w:val="Ttulo2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37621704" w14:textId="1C8C9006" w:rsidR="002F669D" w:rsidRPr="008318B5" w:rsidRDefault="002F669D" w:rsidP="00275BA6">
      <w:pPr>
        <w:pStyle w:val="Ttulo2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4.3. Pessoas e direitos humanos</w:t>
      </w:r>
    </w:p>
    <w:p w14:paraId="4919CEF7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ambiente de trabalho seguro, inclusivo e livre de assédio;</w:t>
      </w:r>
    </w:p>
    <w:p w14:paraId="7E25C3C0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igualdade de oportunidades e respeito à diversidade;</w:t>
      </w:r>
    </w:p>
    <w:p w14:paraId="09D39DC8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proibição de trabalho infantil, forçado ou análogo ao escravo na cadeia de fornecedores;</w:t>
      </w:r>
    </w:p>
    <w:p w14:paraId="1658AD0B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proteção de denunciantes de boa-fé;</w:t>
      </w:r>
    </w:p>
    <w:p w14:paraId="62F338FD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capacitação compatível com as funções e riscos.</w:t>
      </w:r>
    </w:p>
    <w:p w14:paraId="4241C571" w14:textId="77777777" w:rsidR="001D5EE0" w:rsidRPr="008318B5" w:rsidRDefault="001D5EE0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27DE3261" w14:textId="05A912C5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5. PILAR AMBIENTAL E CLIMÁTICO</w:t>
      </w:r>
    </w:p>
    <w:p w14:paraId="123F7F5E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priorizar fluxos digitais, reduzindo papel, transporte e descarte;</w:t>
      </w:r>
    </w:p>
    <w:p w14:paraId="2906019B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adotar descarte seguro e ambientalmente adequado de cartões, equipamentos e resíduos eletrônicos;</w:t>
      </w:r>
    </w:p>
    <w:p w14:paraId="66786395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estimular eficiência energética, consumo consciente de água e redução de resíduos;</w:t>
      </w:r>
    </w:p>
    <w:p w14:paraId="339147E3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considerar riscos de indisponibilidade tecnológica e operacional relacionados a eventos climáticos em planos de continuidade;</w:t>
      </w:r>
    </w:p>
    <w:p w14:paraId="677F937F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avaliar fornecedores críticos quanto a práticas ambientais e continuidade de serviços;</w:t>
      </w:r>
    </w:p>
    <w:p w14:paraId="244A6CA5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não utilizar alegações ambientais enganosas ou sem evidências.</w:t>
      </w:r>
    </w:p>
    <w:p w14:paraId="64EFE7BF" w14:textId="77777777" w:rsidR="00D916D8" w:rsidRPr="008318B5" w:rsidRDefault="00D916D8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5636B2EF" w14:textId="0820948F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6. PILAR DE GOVERNANÇA</w:t>
      </w:r>
    </w:p>
    <w:p w14:paraId="0B7B4F1F" w14:textId="3CD3C733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 xml:space="preserve">definição clara de responsabilidades entre </w:t>
      </w:r>
      <w:r w:rsidR="00DE44F5" w:rsidRPr="008318B5">
        <w:rPr>
          <w:rFonts w:ascii="Dosis" w:hAnsi="Dosis"/>
          <w:sz w:val="23"/>
          <w:szCs w:val="23"/>
          <w:lang w:val="pt-BR"/>
        </w:rPr>
        <w:t>o MEU BENEFÍCIO</w:t>
      </w:r>
      <w:r w:rsidR="00DE44F5" w:rsidRPr="008318B5">
        <w:rPr>
          <w:rFonts w:ascii="Dosis" w:hAnsi="Dosis"/>
          <w:sz w:val="23"/>
          <w:szCs w:val="23"/>
          <w:lang w:val="pt-BR"/>
        </w:rPr>
        <w:t xml:space="preserve"> </w:t>
      </w:r>
      <w:r w:rsidRPr="008318B5">
        <w:rPr>
          <w:rFonts w:ascii="Dosis" w:hAnsi="Dosis"/>
          <w:sz w:val="23"/>
          <w:szCs w:val="23"/>
          <w:lang w:val="pt-BR"/>
        </w:rPr>
        <w:t>a</w:t>
      </w:r>
      <w:r w:rsidR="00DE44F5" w:rsidRPr="008318B5">
        <w:rPr>
          <w:rFonts w:ascii="Dosis" w:hAnsi="Dosis"/>
          <w:sz w:val="23"/>
          <w:szCs w:val="23"/>
          <w:lang w:val="pt-BR"/>
        </w:rPr>
        <w:t xml:space="preserve"> </w:t>
      </w:r>
      <w:r w:rsidRPr="008318B5">
        <w:rPr>
          <w:rFonts w:ascii="Dosis" w:hAnsi="Dosis"/>
          <w:sz w:val="23"/>
          <w:szCs w:val="23"/>
          <w:lang w:val="pt-BR"/>
        </w:rPr>
        <w:t xml:space="preserve">emissora, </w:t>
      </w:r>
      <w:r w:rsidR="00DE44F5" w:rsidRPr="008318B5">
        <w:rPr>
          <w:rFonts w:ascii="Dosis" w:hAnsi="Dosis"/>
          <w:sz w:val="23"/>
          <w:szCs w:val="23"/>
          <w:lang w:val="pt-BR"/>
        </w:rPr>
        <w:t xml:space="preserve">bancarizadora, </w:t>
      </w:r>
      <w:r w:rsidRPr="008318B5">
        <w:rPr>
          <w:rFonts w:ascii="Dosis" w:hAnsi="Dosis"/>
          <w:sz w:val="23"/>
          <w:szCs w:val="23"/>
          <w:lang w:val="pt-BR"/>
        </w:rPr>
        <w:t>processadora, bandeira, correspondente e órgão conveniado;</w:t>
      </w:r>
    </w:p>
    <w:p w14:paraId="14971901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aprovação formal de produtos, campanhas, convênios e fornecedores críticos;</w:t>
      </w:r>
    </w:p>
    <w:p w14:paraId="03A6EC72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gestão de conflitos de interesses e transações com partes relacionadas;</w:t>
      </w:r>
    </w:p>
    <w:p w14:paraId="35C983EB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lastRenderedPageBreak/>
        <w:t>controles anticorrupção, PLD/FTP, proteção de dados e segurança da informação;</w:t>
      </w:r>
    </w:p>
    <w:p w14:paraId="0ED6922F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 xml:space="preserve">canal de denúncias independente e proteção </w:t>
      </w:r>
      <w:proofErr w:type="gramStart"/>
      <w:r w:rsidRPr="008318B5">
        <w:rPr>
          <w:rFonts w:ascii="Dosis" w:hAnsi="Dosis"/>
          <w:sz w:val="23"/>
          <w:szCs w:val="23"/>
          <w:lang w:val="pt-BR"/>
        </w:rPr>
        <w:t>contra retaliação</w:t>
      </w:r>
      <w:proofErr w:type="gramEnd"/>
      <w:r w:rsidRPr="008318B5">
        <w:rPr>
          <w:rFonts w:ascii="Dosis" w:hAnsi="Dosis"/>
          <w:sz w:val="23"/>
          <w:szCs w:val="23"/>
          <w:lang w:val="pt-BR"/>
        </w:rPr>
        <w:t>;</w:t>
      </w:r>
    </w:p>
    <w:p w14:paraId="58B2D74F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registros auditáveis, indicadores e reporte à administração;</w:t>
      </w:r>
    </w:p>
    <w:p w14:paraId="5FFAE16A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remuneração e incentivos compatíveis com conduta ética e resultados sustentáveis.</w:t>
      </w:r>
    </w:p>
    <w:p w14:paraId="1256029B" w14:textId="77777777" w:rsidR="00DE44F5" w:rsidRPr="008318B5" w:rsidRDefault="00DE44F5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36A6990B" w14:textId="238DCF4A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7. RELACIONAMENTO COM O PODER PÚBLICO</w:t>
      </w:r>
    </w:p>
    <w:p w14:paraId="304A064D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observar legalidade, impessoalidade, moralidade, publicidade e eficiência;</w:t>
      </w:r>
    </w:p>
    <w:p w14:paraId="22E08081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formalizar convênios, credenciamentos e autorizações nos termos da legislação do ente consignante;</w:t>
      </w:r>
    </w:p>
    <w:p w14:paraId="19AEA81C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vedar pagamentos, vantagens indevidas, facilitação, presentes ou hospitalidades capazes de influenciar decisões;</w:t>
      </w:r>
    </w:p>
    <w:p w14:paraId="5C740C71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manter registros completos de interações institucionais, propostas, documentos e aprovações;</w:t>
      </w:r>
    </w:p>
    <w:p w14:paraId="6B0E35D2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realizar diligência de integridade de representantes, consultores e parceiros que atuem perante órgãos públicos.</w:t>
      </w:r>
    </w:p>
    <w:p w14:paraId="73A96FE0" w14:textId="77777777" w:rsidR="00374D1A" w:rsidRPr="008318B5" w:rsidRDefault="00374D1A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1B33B346" w14:textId="26750E11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8. FORNECEDORES E PARCEIROS</w:t>
      </w:r>
    </w:p>
    <w:p w14:paraId="2971532E" w14:textId="77777777" w:rsidR="002F669D" w:rsidRPr="008318B5" w:rsidRDefault="002F669D" w:rsidP="00275BA6">
      <w:pPr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A contratação e manutenção de parceiros relevantes deverá considerar critérios técnicos, jurídicos, reputacionais, sociais, ambientais, climáticos, de segurança, privacidade e integridade.</w:t>
      </w:r>
    </w:p>
    <w:p w14:paraId="7B90E1E0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diligência proporcional ao risco;</w:t>
      </w:r>
    </w:p>
    <w:p w14:paraId="00364A3C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cláusulas contratuais de integridade, direitos humanos, proteção de dados, segurança e auditoria;</w:t>
      </w:r>
    </w:p>
    <w:p w14:paraId="3DCA9D04" w14:textId="1BA745A8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 xml:space="preserve">monitoramento periódico de prestadores </w:t>
      </w:r>
      <w:r w:rsidR="00472ED3" w:rsidRPr="008318B5">
        <w:rPr>
          <w:rFonts w:ascii="Dosis" w:hAnsi="Dosis"/>
          <w:sz w:val="23"/>
          <w:szCs w:val="23"/>
          <w:lang w:val="pt-BR"/>
        </w:rPr>
        <w:t xml:space="preserve">e fornecedores </w:t>
      </w:r>
      <w:r w:rsidRPr="008318B5">
        <w:rPr>
          <w:rFonts w:ascii="Dosis" w:hAnsi="Dosis"/>
          <w:sz w:val="23"/>
          <w:szCs w:val="23"/>
          <w:lang w:val="pt-BR"/>
        </w:rPr>
        <w:t>críticos;</w:t>
      </w:r>
    </w:p>
    <w:p w14:paraId="20F6654B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plano de ação, suspensão ou rescisão em caso de não conformidade material.</w:t>
      </w:r>
    </w:p>
    <w:p w14:paraId="1A2D1C5B" w14:textId="77777777" w:rsidR="00C83D91" w:rsidRPr="008318B5" w:rsidRDefault="00C83D91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2798B102" w14:textId="22831799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9. GESTÃO DE RISCOS ESG</w:t>
      </w:r>
    </w:p>
    <w:p w14:paraId="27CB6D80" w14:textId="369245E0" w:rsidR="002F669D" w:rsidRPr="008318B5" w:rsidRDefault="002F669D" w:rsidP="00275BA6">
      <w:pPr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Os riscos ESG serão identificados e avaliados de forma proporcional à natureza, porte e complexidade d</w:t>
      </w:r>
      <w:r w:rsidR="00632713" w:rsidRPr="008318B5">
        <w:rPr>
          <w:rFonts w:ascii="Dosis" w:hAnsi="Dosis"/>
          <w:sz w:val="23"/>
          <w:szCs w:val="23"/>
          <w:lang w:val="pt-BR"/>
        </w:rPr>
        <w:t>o MEU BENEFÍCIO</w:t>
      </w:r>
      <w:r w:rsidRPr="008318B5">
        <w:rPr>
          <w:rFonts w:ascii="Dosis" w:hAnsi="Dosis"/>
          <w:sz w:val="23"/>
          <w:szCs w:val="23"/>
          <w:lang w:val="pt-BR"/>
        </w:rPr>
        <w:t>. A avaliação deverá considerar impactos sobre clientes, trabalhadores, poder público, reputação, continuidade operacional, ambiente e clima.</w:t>
      </w:r>
    </w:p>
    <w:p w14:paraId="489C408D" w14:textId="77777777" w:rsidR="00472ED3" w:rsidRPr="008318B5" w:rsidRDefault="00472ED3" w:rsidP="00275BA6">
      <w:pPr>
        <w:spacing w:after="0"/>
        <w:jc w:val="both"/>
        <w:rPr>
          <w:rFonts w:ascii="Dosis" w:hAnsi="Dosis"/>
          <w:sz w:val="23"/>
          <w:szCs w:val="23"/>
          <w:lang w:val="pt-BR"/>
        </w:rPr>
      </w:pPr>
    </w:p>
    <w:p w14:paraId="42347DD3" w14:textId="003FFBB9" w:rsidR="002F669D" w:rsidRPr="008318B5" w:rsidRDefault="002F669D" w:rsidP="00275BA6">
      <w:pPr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 xml:space="preserve">Projetos de maior risco, como novos produtos consignados, campanhas massivas, uso de biometria, integração com bases públicas ou contratação de fornecedores </w:t>
      </w:r>
      <w:r w:rsidR="00E071DB" w:rsidRPr="008318B5">
        <w:rPr>
          <w:rFonts w:ascii="Dosis" w:hAnsi="Dosis"/>
          <w:sz w:val="23"/>
          <w:szCs w:val="23"/>
          <w:lang w:val="pt-BR"/>
        </w:rPr>
        <w:t xml:space="preserve">e prestadores </w:t>
      </w:r>
      <w:r w:rsidRPr="008318B5">
        <w:rPr>
          <w:rFonts w:ascii="Dosis" w:hAnsi="Dosis"/>
          <w:sz w:val="23"/>
          <w:szCs w:val="23"/>
          <w:lang w:val="pt-BR"/>
        </w:rPr>
        <w:t>críticos, deverão ser submetidos a análise prévia das áreas competentes.</w:t>
      </w:r>
    </w:p>
    <w:p w14:paraId="1F3BAAA0" w14:textId="77777777" w:rsidR="00472ED3" w:rsidRPr="008318B5" w:rsidRDefault="00472ED3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72CBD593" w14:textId="2D6538AA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10. INDICADORES E MONITORAMENTO</w:t>
      </w:r>
    </w:p>
    <w:p w14:paraId="10CD6503" w14:textId="6A886BF2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 xml:space="preserve">reclamações, cancelamentos e contestações por </w:t>
      </w:r>
      <w:r w:rsidR="00E071DB" w:rsidRPr="008318B5">
        <w:rPr>
          <w:rFonts w:ascii="Dosis" w:hAnsi="Dosis"/>
          <w:sz w:val="23"/>
          <w:szCs w:val="23"/>
          <w:lang w:val="pt-BR"/>
        </w:rPr>
        <w:t xml:space="preserve">qualquer </w:t>
      </w:r>
      <w:r w:rsidRPr="008318B5">
        <w:rPr>
          <w:rFonts w:ascii="Dosis" w:hAnsi="Dosis"/>
          <w:sz w:val="23"/>
          <w:szCs w:val="23"/>
          <w:lang w:val="pt-BR"/>
        </w:rPr>
        <w:t>motivo;</w:t>
      </w:r>
    </w:p>
    <w:p w14:paraId="32A8DA44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contratações questionadas por fraude ou vício de consentimento;</w:t>
      </w:r>
    </w:p>
    <w:p w14:paraId="12CA22B2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atendimentos a públicos vulneráveis e acessibilidade;</w:t>
      </w:r>
    </w:p>
    <w:p w14:paraId="6FA1BEC8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treinamentos e denúncias de conduta;</w:t>
      </w:r>
    </w:p>
    <w:p w14:paraId="2B2100BC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consumo de papel, energia e descarte de resíduos eletrônicos;</w:t>
      </w:r>
    </w:p>
    <w:p w14:paraId="2C25EC5D" w14:textId="332B7B85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lastRenderedPageBreak/>
        <w:t>avaliação e não conformidades de fornecedores</w:t>
      </w:r>
      <w:r w:rsidR="0005536C" w:rsidRPr="008318B5">
        <w:rPr>
          <w:rFonts w:ascii="Dosis" w:hAnsi="Dosis"/>
          <w:sz w:val="23"/>
          <w:szCs w:val="23"/>
          <w:lang w:val="pt-BR"/>
        </w:rPr>
        <w:t xml:space="preserve"> e servidores</w:t>
      </w:r>
      <w:r w:rsidRPr="008318B5">
        <w:rPr>
          <w:rFonts w:ascii="Dosis" w:hAnsi="Dosis"/>
          <w:sz w:val="23"/>
          <w:szCs w:val="23"/>
          <w:lang w:val="pt-BR"/>
        </w:rPr>
        <w:t xml:space="preserve"> críticos;</w:t>
      </w:r>
    </w:p>
    <w:p w14:paraId="45E96AE0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incidentes de dados e indisponibilidade operacional.</w:t>
      </w:r>
    </w:p>
    <w:p w14:paraId="5F02D22F" w14:textId="77777777" w:rsidR="0005536C" w:rsidRPr="008318B5" w:rsidRDefault="0005536C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26B5EAF8" w14:textId="262E731C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11. RESPONSABILIDADES</w:t>
      </w:r>
    </w:p>
    <w:p w14:paraId="2C03EC89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Conselho de Administração/Diretoria: aprovar diretrizes, supervisionar e prover recursos.</w:t>
      </w:r>
    </w:p>
    <w:p w14:paraId="2D95FF57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i/>
          <w:iCs/>
          <w:sz w:val="23"/>
          <w:szCs w:val="23"/>
          <w:lang w:val="pt-BR"/>
        </w:rPr>
        <w:t>Compliance</w:t>
      </w:r>
      <w:r w:rsidRPr="008318B5">
        <w:rPr>
          <w:rFonts w:ascii="Dosis" w:hAnsi="Dosis"/>
          <w:sz w:val="23"/>
          <w:szCs w:val="23"/>
          <w:lang w:val="pt-BR"/>
        </w:rPr>
        <w:t>/Jurídico: apoiar a avaliação de riscos, integridade e conformidade.</w:t>
      </w:r>
    </w:p>
    <w:p w14:paraId="6E716F97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Negócios e Operações: incorporar os critérios ESG aos produtos, convênios e atendimento.</w:t>
      </w:r>
    </w:p>
    <w:p w14:paraId="10D2DC89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Compras: aplicar critérios de diligência e contratação responsável.</w:t>
      </w:r>
    </w:p>
    <w:p w14:paraId="04631DCF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Recursos Humanos: promover ambiente inclusivo, seguro e ético.</w:t>
      </w:r>
    </w:p>
    <w:p w14:paraId="697B3DDA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Todos os colaboradores e terceiros: cumprir esta Política e reportar desvios.</w:t>
      </w:r>
    </w:p>
    <w:p w14:paraId="41191137" w14:textId="77777777" w:rsidR="00424A62" w:rsidRPr="008318B5" w:rsidRDefault="00424A62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3800C21E" w14:textId="66ED8520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12. TRANSPARÊNCIA</w:t>
      </w:r>
    </w:p>
    <w:p w14:paraId="1023BE49" w14:textId="0581A6B5" w:rsidR="002F669D" w:rsidRPr="008318B5" w:rsidRDefault="00424A62" w:rsidP="00275BA6">
      <w:pPr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O</w:t>
      </w:r>
      <w:r w:rsidRPr="008318B5">
        <w:rPr>
          <w:rFonts w:ascii="Dosis" w:hAnsi="Dosis"/>
          <w:sz w:val="23"/>
          <w:szCs w:val="23"/>
          <w:lang w:val="pt-BR"/>
        </w:rPr>
        <w:t xml:space="preserve"> MEU BENEFÍCIO</w:t>
      </w:r>
      <w:r w:rsidR="002F669D" w:rsidRPr="008318B5">
        <w:rPr>
          <w:rFonts w:ascii="Dosis" w:hAnsi="Dosis"/>
          <w:sz w:val="23"/>
          <w:szCs w:val="23"/>
          <w:lang w:val="pt-BR"/>
        </w:rPr>
        <w:t xml:space="preserve"> poderá divulgar compromissos e indicadores ESG compatíveis com sua realidade, desde que verificáveis, consistentes e aprovados. É vedada a divulgação de metas ou resultados ambientais e sociais sem base documental suficiente.</w:t>
      </w:r>
    </w:p>
    <w:p w14:paraId="4635C63C" w14:textId="77777777" w:rsidR="00424A62" w:rsidRPr="008318B5" w:rsidRDefault="00424A62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4647B1A3" w14:textId="59E52127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13. REFERÊNCIAS</w:t>
      </w:r>
    </w:p>
    <w:p w14:paraId="4776A01E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Lei nº 8.078/1990 – Código de Defesa do Consumidor.</w:t>
      </w:r>
    </w:p>
    <w:p w14:paraId="2CE979F0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Lei nº 14.181/2021 – prevenção e tratamento do superendividamento.</w:t>
      </w:r>
    </w:p>
    <w:p w14:paraId="13F7BA44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Lei nº 12.846/2013 – Lei Anticorrupção.</w:t>
      </w:r>
    </w:p>
    <w:p w14:paraId="21B18085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Lei nº 13.709/2018 – Lei Geral de Proteção de Dados Pessoais.</w:t>
      </w:r>
    </w:p>
    <w:p w14:paraId="319C4289" w14:textId="762E8A5D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Resolução CMN nº 4.945/2021, utilizada como referência de boa prática, quando compatível com a natureza não regulada d</w:t>
      </w:r>
      <w:r w:rsidR="008318B5" w:rsidRPr="008318B5">
        <w:rPr>
          <w:rFonts w:ascii="Dosis" w:hAnsi="Dosis"/>
          <w:sz w:val="23"/>
          <w:szCs w:val="23"/>
          <w:lang w:val="pt-BR"/>
        </w:rPr>
        <w:t>o MEU BENEFÍCIO</w:t>
      </w:r>
      <w:r w:rsidRPr="008318B5">
        <w:rPr>
          <w:rFonts w:ascii="Dosis" w:hAnsi="Dosis"/>
          <w:sz w:val="23"/>
          <w:szCs w:val="23"/>
          <w:lang w:val="pt-BR"/>
        </w:rPr>
        <w:t>.</w:t>
      </w:r>
    </w:p>
    <w:p w14:paraId="52B161E7" w14:textId="77777777" w:rsidR="002F669D" w:rsidRPr="008318B5" w:rsidRDefault="002F669D" w:rsidP="00275BA6">
      <w:pPr>
        <w:pStyle w:val="Commarcadores"/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>Princípios do Pacto Global das Nações Unidas e Objetivos de Desenvolvimento Sustentável, como referências voluntárias.</w:t>
      </w:r>
    </w:p>
    <w:p w14:paraId="0BEE162F" w14:textId="77777777" w:rsidR="008318B5" w:rsidRPr="008318B5" w:rsidRDefault="008318B5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7A05B67A" w14:textId="727EF79C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14. DISPOSIÇÕES FINAIS</w:t>
      </w:r>
    </w:p>
    <w:p w14:paraId="4836652C" w14:textId="64DF75E4" w:rsidR="002F669D" w:rsidRPr="008318B5" w:rsidRDefault="002F669D" w:rsidP="00275BA6">
      <w:pPr>
        <w:spacing w:after="0"/>
        <w:jc w:val="both"/>
        <w:rPr>
          <w:rFonts w:ascii="Dosis" w:hAnsi="Dosis"/>
          <w:sz w:val="23"/>
          <w:szCs w:val="23"/>
          <w:lang w:val="pt-BR"/>
        </w:rPr>
      </w:pPr>
      <w:r w:rsidRPr="008318B5">
        <w:rPr>
          <w:rFonts w:ascii="Dosis" w:hAnsi="Dosis"/>
          <w:sz w:val="23"/>
          <w:szCs w:val="23"/>
          <w:lang w:val="pt-BR"/>
        </w:rPr>
        <w:t xml:space="preserve">Esta Política deverá ser revisada, no mínimo, a cada </w:t>
      </w:r>
      <w:r w:rsidR="008318B5">
        <w:rPr>
          <w:rFonts w:ascii="Dosis" w:hAnsi="Dosis"/>
          <w:sz w:val="23"/>
          <w:szCs w:val="23"/>
          <w:lang w:val="pt-BR"/>
        </w:rPr>
        <w:t>01 (um)</w:t>
      </w:r>
      <w:r w:rsidRPr="008318B5">
        <w:rPr>
          <w:rFonts w:ascii="Dosis" w:hAnsi="Dosis"/>
          <w:sz w:val="23"/>
          <w:szCs w:val="23"/>
          <w:lang w:val="pt-BR"/>
        </w:rPr>
        <w:t xml:space="preserve"> ano ou quando houver alteração relevante no negócio, nos riscos, na legislação ou nas expectativas das partes interessadas.</w:t>
      </w:r>
    </w:p>
    <w:p w14:paraId="6D983FED" w14:textId="77777777" w:rsidR="008318B5" w:rsidRPr="008318B5" w:rsidRDefault="008318B5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3D4B981B" w14:textId="77777777" w:rsidR="008318B5" w:rsidRDefault="008318B5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</w:p>
    <w:p w14:paraId="69D436C1" w14:textId="54CC50FB" w:rsidR="002F669D" w:rsidRPr="008318B5" w:rsidRDefault="002F669D" w:rsidP="00275BA6">
      <w:pPr>
        <w:pStyle w:val="Ttulo1"/>
        <w:spacing w:before="0"/>
        <w:jc w:val="both"/>
        <w:rPr>
          <w:rFonts w:ascii="Dosis" w:hAnsi="Dosis"/>
          <w:color w:val="auto"/>
          <w:sz w:val="23"/>
          <w:szCs w:val="23"/>
          <w:lang w:val="pt-BR"/>
        </w:rPr>
      </w:pPr>
      <w:r w:rsidRPr="008318B5">
        <w:rPr>
          <w:rFonts w:ascii="Dosis" w:hAnsi="Dosis"/>
          <w:color w:val="auto"/>
          <w:sz w:val="23"/>
          <w:szCs w:val="23"/>
          <w:lang w:val="pt-BR"/>
        </w:rPr>
        <w:t>APROVAÇÃO E REVISÃO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04"/>
        <w:gridCol w:w="2405"/>
        <w:gridCol w:w="2417"/>
        <w:gridCol w:w="2402"/>
      </w:tblGrid>
      <w:tr w:rsidR="002F669D" w:rsidRPr="008318B5" w14:paraId="18FEAB76" w14:textId="77777777" w:rsidTr="00275BA6">
        <w:trPr>
          <w:jc w:val="center"/>
        </w:trPr>
        <w:tc>
          <w:tcPr>
            <w:tcW w:w="2450" w:type="dxa"/>
            <w:shd w:val="clear" w:color="auto" w:fill="EAF1DD" w:themeFill="accent3" w:themeFillTint="33"/>
          </w:tcPr>
          <w:p w14:paraId="0D4567ED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Nome</w:t>
            </w:r>
          </w:p>
        </w:tc>
        <w:tc>
          <w:tcPr>
            <w:tcW w:w="2450" w:type="dxa"/>
            <w:shd w:val="clear" w:color="auto" w:fill="EAF1DD" w:themeFill="accent3" w:themeFillTint="33"/>
          </w:tcPr>
          <w:p w14:paraId="3AB0B275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Cargo</w:t>
            </w:r>
          </w:p>
        </w:tc>
        <w:tc>
          <w:tcPr>
            <w:tcW w:w="2450" w:type="dxa"/>
            <w:shd w:val="clear" w:color="auto" w:fill="EAF1DD" w:themeFill="accent3" w:themeFillTint="33"/>
          </w:tcPr>
          <w:p w14:paraId="27BB17A9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Assinatura</w:t>
            </w:r>
          </w:p>
        </w:tc>
        <w:tc>
          <w:tcPr>
            <w:tcW w:w="2450" w:type="dxa"/>
            <w:shd w:val="clear" w:color="auto" w:fill="EAF1DD" w:themeFill="accent3" w:themeFillTint="33"/>
          </w:tcPr>
          <w:p w14:paraId="4F876A1D" w14:textId="77777777" w:rsidR="002F669D" w:rsidRPr="008318B5" w:rsidRDefault="002F669D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b/>
                <w:sz w:val="23"/>
                <w:szCs w:val="23"/>
                <w:lang w:val="pt-BR"/>
              </w:rPr>
              <w:t>Data</w:t>
            </w:r>
          </w:p>
        </w:tc>
      </w:tr>
      <w:tr w:rsidR="002F669D" w:rsidRPr="008318B5" w14:paraId="3BE32BF2" w14:textId="77777777" w:rsidTr="00A14CBC">
        <w:trPr>
          <w:jc w:val="center"/>
        </w:trPr>
        <w:tc>
          <w:tcPr>
            <w:tcW w:w="2450" w:type="dxa"/>
          </w:tcPr>
          <w:p w14:paraId="7D0487EF" w14:textId="0FD7547B" w:rsidR="002F669D" w:rsidRPr="008318B5" w:rsidRDefault="00275BA6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[</w:t>
            </w:r>
            <w:r w:rsidRPr="008318B5">
              <w:rPr>
                <w:rFonts w:ascii="Times New Roman" w:hAnsi="Times New Roman" w:cs="Times New Roman"/>
                <w:sz w:val="23"/>
                <w:szCs w:val="23"/>
                <w:highlight w:val="green"/>
                <w:lang w:val="pt-BR"/>
              </w:rPr>
              <w:t>●</w:t>
            </w:r>
            <w:r w:rsidRPr="008318B5">
              <w:rPr>
                <w:rFonts w:ascii="Dosis" w:hAnsi="Dosis"/>
                <w:sz w:val="23"/>
                <w:szCs w:val="23"/>
                <w:lang w:val="pt-BR"/>
              </w:rPr>
              <w:t>]</w:t>
            </w:r>
          </w:p>
        </w:tc>
        <w:tc>
          <w:tcPr>
            <w:tcW w:w="2450" w:type="dxa"/>
          </w:tcPr>
          <w:p w14:paraId="31DFD343" w14:textId="2CE47DA4" w:rsidR="002F669D" w:rsidRPr="008318B5" w:rsidRDefault="00275BA6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[</w:t>
            </w:r>
            <w:r w:rsidRPr="008318B5">
              <w:rPr>
                <w:rFonts w:ascii="Times New Roman" w:hAnsi="Times New Roman" w:cs="Times New Roman"/>
                <w:sz w:val="23"/>
                <w:szCs w:val="23"/>
                <w:highlight w:val="green"/>
                <w:lang w:val="pt-BR"/>
              </w:rPr>
              <w:t>●</w:t>
            </w:r>
            <w:r w:rsidRPr="008318B5">
              <w:rPr>
                <w:rFonts w:ascii="Dosis" w:hAnsi="Dosis"/>
                <w:sz w:val="23"/>
                <w:szCs w:val="23"/>
                <w:lang w:val="pt-BR"/>
              </w:rPr>
              <w:t>]</w:t>
            </w:r>
          </w:p>
        </w:tc>
        <w:tc>
          <w:tcPr>
            <w:tcW w:w="2450" w:type="dxa"/>
          </w:tcPr>
          <w:p w14:paraId="72B8797E" w14:textId="3695CF6F" w:rsidR="002F669D" w:rsidRPr="008318B5" w:rsidRDefault="00275BA6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[</w:t>
            </w:r>
            <w:r w:rsidRPr="008318B5">
              <w:rPr>
                <w:rFonts w:ascii="Times New Roman" w:hAnsi="Times New Roman" w:cs="Times New Roman"/>
                <w:sz w:val="23"/>
                <w:szCs w:val="23"/>
                <w:highlight w:val="green"/>
                <w:lang w:val="pt-BR"/>
              </w:rPr>
              <w:t>●</w:t>
            </w:r>
            <w:r w:rsidRPr="008318B5">
              <w:rPr>
                <w:rFonts w:ascii="Dosis" w:hAnsi="Dosis"/>
                <w:sz w:val="23"/>
                <w:szCs w:val="23"/>
                <w:lang w:val="pt-BR"/>
              </w:rPr>
              <w:t>]</w:t>
            </w:r>
          </w:p>
        </w:tc>
        <w:tc>
          <w:tcPr>
            <w:tcW w:w="2450" w:type="dxa"/>
          </w:tcPr>
          <w:p w14:paraId="2A19D3E8" w14:textId="3BA68FCD" w:rsidR="002F669D" w:rsidRPr="008318B5" w:rsidRDefault="00275BA6" w:rsidP="002F669D">
            <w:pPr>
              <w:spacing w:line="276" w:lineRule="auto"/>
              <w:jc w:val="both"/>
              <w:rPr>
                <w:rFonts w:ascii="Dosis" w:hAnsi="Dosis"/>
                <w:sz w:val="23"/>
                <w:szCs w:val="23"/>
                <w:lang w:val="pt-BR"/>
              </w:rPr>
            </w:pPr>
            <w:r w:rsidRPr="008318B5">
              <w:rPr>
                <w:rFonts w:ascii="Dosis" w:hAnsi="Dosis"/>
                <w:sz w:val="23"/>
                <w:szCs w:val="23"/>
                <w:lang w:val="pt-BR"/>
              </w:rPr>
              <w:t>[</w:t>
            </w:r>
            <w:r w:rsidRPr="008318B5">
              <w:rPr>
                <w:rFonts w:ascii="Times New Roman" w:hAnsi="Times New Roman" w:cs="Times New Roman"/>
                <w:sz w:val="23"/>
                <w:szCs w:val="23"/>
                <w:highlight w:val="green"/>
                <w:lang w:val="pt-BR"/>
              </w:rPr>
              <w:t>●</w:t>
            </w:r>
            <w:r w:rsidRPr="008318B5">
              <w:rPr>
                <w:rFonts w:ascii="Dosis" w:hAnsi="Dosis"/>
                <w:sz w:val="23"/>
                <w:szCs w:val="23"/>
                <w:lang w:val="pt-BR"/>
              </w:rPr>
              <w:t>]</w:t>
            </w:r>
          </w:p>
        </w:tc>
      </w:tr>
    </w:tbl>
    <w:p w14:paraId="1519B364" w14:textId="77777777" w:rsidR="002F669D" w:rsidRPr="008318B5" w:rsidRDefault="002F669D" w:rsidP="002F669D">
      <w:pPr>
        <w:spacing w:after="0"/>
        <w:jc w:val="both"/>
        <w:rPr>
          <w:rFonts w:ascii="Dosis" w:hAnsi="Dosis"/>
          <w:sz w:val="23"/>
          <w:szCs w:val="23"/>
          <w:lang w:val="pt-BR"/>
        </w:rPr>
      </w:pPr>
    </w:p>
    <w:p w14:paraId="1A9DC1AA" w14:textId="67525A00" w:rsidR="005F302B" w:rsidRPr="008E4BBB" w:rsidRDefault="005F302B" w:rsidP="009D3DAA">
      <w:pPr>
        <w:rPr>
          <w:rFonts w:ascii="Dosis" w:hAnsi="Dosis"/>
          <w:szCs w:val="24"/>
        </w:rPr>
      </w:pPr>
    </w:p>
    <w:sectPr w:rsidR="005F302B" w:rsidRPr="008E4BBB" w:rsidSect="00ED0071">
      <w:headerReference w:type="default" r:id="rId8"/>
      <w:footerReference w:type="default" r:id="rId9"/>
      <w:pgSz w:w="11906" w:h="16838"/>
      <w:pgMar w:top="1814" w:right="1134" w:bottom="1814" w:left="1134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52BDD" w14:textId="77777777" w:rsidR="009D3F2E" w:rsidRDefault="009D3F2E">
      <w:pPr>
        <w:spacing w:after="0" w:line="240" w:lineRule="auto"/>
      </w:pPr>
      <w:r>
        <w:separator/>
      </w:r>
    </w:p>
  </w:endnote>
  <w:endnote w:type="continuationSeparator" w:id="0">
    <w:p w14:paraId="472F0FBF" w14:textId="77777777" w:rsidR="009D3F2E" w:rsidRDefault="009D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osis">
    <w:charset w:val="00"/>
    <w:family w:val="auto"/>
    <w:pitch w:val="variable"/>
    <w:sig w:usb0="A00000B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13979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7B76B1C" w14:textId="26088D2D" w:rsidR="00ED0071" w:rsidRDefault="00F31882" w:rsidP="00ED0071">
            <w:r>
              <w:rPr>
                <w:b/>
                <w:color w:val="1C6A57"/>
                <w:sz w:val="22"/>
              </w:rPr>
              <w:t>RUA ELVIRA FERRAZ, 250</w:t>
            </w:r>
            <w:r w:rsidR="00532738">
              <w:rPr>
                <w:b/>
                <w:color w:val="1C6A57"/>
                <w:sz w:val="22"/>
              </w:rPr>
              <w:t>, 4º ANDAR, CONJ. 407</w:t>
            </w:r>
            <w:r w:rsidR="00ED0071">
              <w:rPr>
                <w:b/>
                <w:color w:val="1C6A57"/>
                <w:sz w:val="22"/>
              </w:rPr>
              <w:br/>
            </w:r>
            <w:r w:rsidR="00B86B07">
              <w:rPr>
                <w:b/>
                <w:color w:val="1C6A57"/>
                <w:sz w:val="22"/>
              </w:rPr>
              <w:t>VILA OLÍMPIA</w:t>
            </w:r>
            <w:r w:rsidR="00ED0071">
              <w:rPr>
                <w:b/>
                <w:color w:val="1C6A57"/>
                <w:sz w:val="22"/>
              </w:rPr>
              <w:t>, SÃO PAULO</w:t>
            </w:r>
            <w:r w:rsidR="00B86B07">
              <w:rPr>
                <w:b/>
                <w:color w:val="1C6A57"/>
                <w:sz w:val="22"/>
              </w:rPr>
              <w:t>/SP, CEP: 04.552-</w:t>
            </w:r>
            <w:r w:rsidR="00155EB1">
              <w:rPr>
                <w:b/>
                <w:color w:val="1C6A57"/>
                <w:sz w:val="22"/>
              </w:rPr>
              <w:t>040</w:t>
            </w:r>
          </w:p>
          <w:p w14:paraId="5E3DFFF2" w14:textId="2294D283" w:rsidR="00ED0071" w:rsidRDefault="009D3F2E" w:rsidP="00ED0071">
            <w:pPr>
              <w:pStyle w:val="Rodap"/>
              <w:jc w:val="right"/>
            </w:pPr>
          </w:p>
        </w:sdtContent>
      </w:sdt>
    </w:sdtContent>
  </w:sdt>
  <w:p w14:paraId="4FF6BB3C" w14:textId="20D8D721" w:rsidR="005757A6" w:rsidRDefault="005757A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89277" w14:textId="77777777" w:rsidR="009D3F2E" w:rsidRDefault="009D3F2E">
      <w:pPr>
        <w:spacing w:after="0" w:line="240" w:lineRule="auto"/>
      </w:pPr>
      <w:r>
        <w:separator/>
      </w:r>
    </w:p>
  </w:footnote>
  <w:footnote w:type="continuationSeparator" w:id="0">
    <w:p w14:paraId="1C2E0847" w14:textId="77777777" w:rsidR="009D3F2E" w:rsidRDefault="009D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054A1" w14:textId="77777777" w:rsidR="005757A6" w:rsidRDefault="006A0368">
    <w:pPr>
      <w:pStyle w:val="Cabealho"/>
    </w:pPr>
    <w:r>
      <w:rPr>
        <w:noProof/>
      </w:rPr>
      <w:drawing>
        <wp:inline distT="0" distB="0" distL="0" distR="0" wp14:anchorId="03D091E9" wp14:editId="737A5B4D">
          <wp:extent cx="3024000" cy="1263761"/>
          <wp:effectExtent l="0" t="0" r="0" b="0"/>
          <wp:docPr id="10213069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rop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24000" cy="1263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796A0C"/>
    <w:multiLevelType w:val="hybridMultilevel"/>
    <w:tmpl w:val="9774BD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933FC"/>
    <w:multiLevelType w:val="hybridMultilevel"/>
    <w:tmpl w:val="200606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545153">
    <w:abstractNumId w:val="8"/>
  </w:num>
  <w:num w:numId="2" w16cid:durableId="67505679">
    <w:abstractNumId w:val="6"/>
  </w:num>
  <w:num w:numId="3" w16cid:durableId="792671168">
    <w:abstractNumId w:val="5"/>
  </w:num>
  <w:num w:numId="4" w16cid:durableId="46269783">
    <w:abstractNumId w:val="4"/>
  </w:num>
  <w:num w:numId="5" w16cid:durableId="1727756785">
    <w:abstractNumId w:val="7"/>
  </w:num>
  <w:num w:numId="6" w16cid:durableId="1201359588">
    <w:abstractNumId w:val="3"/>
  </w:num>
  <w:num w:numId="7" w16cid:durableId="1044872051">
    <w:abstractNumId w:val="2"/>
  </w:num>
  <w:num w:numId="8" w16cid:durableId="1285505676">
    <w:abstractNumId w:val="1"/>
  </w:num>
  <w:num w:numId="9" w16cid:durableId="1743867290">
    <w:abstractNumId w:val="0"/>
  </w:num>
  <w:num w:numId="10" w16cid:durableId="348678594">
    <w:abstractNumId w:val="9"/>
  </w:num>
  <w:num w:numId="11" w16cid:durableId="20207661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988"/>
    <w:rsid w:val="00033349"/>
    <w:rsid w:val="00034616"/>
    <w:rsid w:val="0005536C"/>
    <w:rsid w:val="0006063C"/>
    <w:rsid w:val="00065D79"/>
    <w:rsid w:val="000F285A"/>
    <w:rsid w:val="0015074B"/>
    <w:rsid w:val="00155EB1"/>
    <w:rsid w:val="001B464C"/>
    <w:rsid w:val="001D5EE0"/>
    <w:rsid w:val="00200852"/>
    <w:rsid w:val="00215FAE"/>
    <w:rsid w:val="00222CCE"/>
    <w:rsid w:val="00227B00"/>
    <w:rsid w:val="00275BA6"/>
    <w:rsid w:val="0029639D"/>
    <w:rsid w:val="002F669D"/>
    <w:rsid w:val="00326F90"/>
    <w:rsid w:val="00327A42"/>
    <w:rsid w:val="00353945"/>
    <w:rsid w:val="00360559"/>
    <w:rsid w:val="003643BD"/>
    <w:rsid w:val="00374D1A"/>
    <w:rsid w:val="0039697B"/>
    <w:rsid w:val="00424A62"/>
    <w:rsid w:val="00472ED3"/>
    <w:rsid w:val="00483C12"/>
    <w:rsid w:val="004B0EA0"/>
    <w:rsid w:val="004B43C0"/>
    <w:rsid w:val="00532738"/>
    <w:rsid w:val="00545B74"/>
    <w:rsid w:val="005548BC"/>
    <w:rsid w:val="005757A6"/>
    <w:rsid w:val="005A05F4"/>
    <w:rsid w:val="005C05B0"/>
    <w:rsid w:val="005C6964"/>
    <w:rsid w:val="005F302B"/>
    <w:rsid w:val="00621D3E"/>
    <w:rsid w:val="00632713"/>
    <w:rsid w:val="006339DB"/>
    <w:rsid w:val="006647A3"/>
    <w:rsid w:val="006A0368"/>
    <w:rsid w:val="007212C6"/>
    <w:rsid w:val="007B32BF"/>
    <w:rsid w:val="007D0A52"/>
    <w:rsid w:val="007D7A34"/>
    <w:rsid w:val="0081463A"/>
    <w:rsid w:val="008318B5"/>
    <w:rsid w:val="008411D3"/>
    <w:rsid w:val="00866957"/>
    <w:rsid w:val="008C70F8"/>
    <w:rsid w:val="008E4BBB"/>
    <w:rsid w:val="00943204"/>
    <w:rsid w:val="009D2142"/>
    <w:rsid w:val="009D3DAA"/>
    <w:rsid w:val="009D3F2E"/>
    <w:rsid w:val="00A01AAB"/>
    <w:rsid w:val="00A17B4D"/>
    <w:rsid w:val="00A40998"/>
    <w:rsid w:val="00AA1D8D"/>
    <w:rsid w:val="00AA38CE"/>
    <w:rsid w:val="00B054A1"/>
    <w:rsid w:val="00B1362B"/>
    <w:rsid w:val="00B276DE"/>
    <w:rsid w:val="00B47730"/>
    <w:rsid w:val="00B86B07"/>
    <w:rsid w:val="00BA5F12"/>
    <w:rsid w:val="00BB7294"/>
    <w:rsid w:val="00C63E32"/>
    <w:rsid w:val="00C83D91"/>
    <w:rsid w:val="00CB0664"/>
    <w:rsid w:val="00CB0F0A"/>
    <w:rsid w:val="00CD7A34"/>
    <w:rsid w:val="00CE1D90"/>
    <w:rsid w:val="00CF7984"/>
    <w:rsid w:val="00D15DF4"/>
    <w:rsid w:val="00D916D8"/>
    <w:rsid w:val="00DE44F5"/>
    <w:rsid w:val="00E071DB"/>
    <w:rsid w:val="00E6231D"/>
    <w:rsid w:val="00E70E7B"/>
    <w:rsid w:val="00E90247"/>
    <w:rsid w:val="00EB18E5"/>
    <w:rsid w:val="00EC2C16"/>
    <w:rsid w:val="00ED0071"/>
    <w:rsid w:val="00F050B1"/>
    <w:rsid w:val="00F31882"/>
    <w:rsid w:val="00F836CB"/>
    <w:rsid w:val="00FC693F"/>
    <w:rsid w:val="00FD7A22"/>
    <w:rsid w:val="00FF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07A7A3"/>
  <w14:defaultImageDpi w14:val="300"/>
  <w15:docId w15:val="{8B3AEF2E-ABA4-45DF-B4D9-5BCEA1F8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rmSubhead">
    <w:name w:val="Term Subhead"/>
    <w:basedOn w:val="Normal"/>
    <w:rsid w:val="00AA38CE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Cs w:val="20"/>
    </w:rPr>
  </w:style>
  <w:style w:type="paragraph" w:customStyle="1" w:styleId="Ttulotl">
    <w:name w:val="Título.tl"/>
    <w:basedOn w:val="Normal"/>
    <w:rsid w:val="00AA38CE"/>
    <w:pPr>
      <w:widowControl w:val="0"/>
      <w:spacing w:after="240" w:line="240" w:lineRule="auto"/>
      <w:jc w:val="center"/>
    </w:pPr>
    <w:rPr>
      <w:rFonts w:ascii="Times New Roman" w:eastAsia="Times New Roman" w:hAnsi="Times New Roman" w:cs="Times New Roman"/>
      <w:b/>
      <w:noProof/>
      <w:kern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1226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Consultoria Jurídica</cp:lastModifiedBy>
  <cp:revision>68</cp:revision>
  <dcterms:created xsi:type="dcterms:W3CDTF">2026-03-31T00:07:00Z</dcterms:created>
  <dcterms:modified xsi:type="dcterms:W3CDTF">2026-08-10T22:41:00Z</dcterms:modified>
  <cp:category/>
</cp:coreProperties>
</file>